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11016"/>
      </w:tblGrid>
      <w:tr w:rsidR="00D60269" w:rsidTr="00D60269">
        <w:tc>
          <w:tcPr>
            <w:tcW w:w="11016" w:type="dxa"/>
            <w:shd w:val="pct12" w:color="auto" w:fill="auto"/>
          </w:tcPr>
          <w:p w:rsidR="00D60269" w:rsidRDefault="008C4D21" w:rsidP="00AD2286">
            <w:pPr>
              <w:pStyle w:val="Heading2"/>
              <w:jc w:val="center"/>
              <w:outlineLvl w:val="1"/>
              <w:rPr>
                <w:sz w:val="24"/>
                <w:szCs w:val="24"/>
              </w:rPr>
            </w:pPr>
            <w:r>
              <w:rPr>
                <w:color w:val="auto"/>
                <w:sz w:val="24"/>
                <w:szCs w:val="24"/>
              </w:rPr>
              <w:t>College Station Road Bicycle Improvement (from Research Drive to Barnett Shoals)</w:t>
            </w:r>
          </w:p>
          <w:p w:rsidR="00D60269" w:rsidRPr="00D60269" w:rsidRDefault="00D60269" w:rsidP="00D60269">
            <w:pPr>
              <w:jc w:val="center"/>
            </w:pPr>
          </w:p>
        </w:tc>
      </w:tr>
    </w:tbl>
    <w:p w:rsidR="00D60269" w:rsidRDefault="002E3D1E" w:rsidP="00D60269">
      <w:pPr>
        <w:spacing w:after="0"/>
      </w:pPr>
      <w:r w:rsidRPr="00823746">
        <w:rPr>
          <w:rFonts w:ascii="Times New Roman" w:hAnsi="Times New Roman" w:cs="Times New Roman"/>
          <w:noProof/>
          <w:sz w:val="24"/>
          <w:szCs w:val="24"/>
        </w:rPr>
        <w:drawing>
          <wp:anchor distT="0" distB="0" distL="114300" distR="114300" simplePos="0" relativeHeight="251659264" behindDoc="0" locked="0" layoutInCell="1" allowOverlap="1" wp14:anchorId="2B1EABFA" wp14:editId="52B8617F">
            <wp:simplePos x="0" y="0"/>
            <wp:positionH relativeFrom="margin">
              <wp:posOffset>3705225</wp:posOffset>
            </wp:positionH>
            <wp:positionV relativeFrom="paragraph">
              <wp:posOffset>13335</wp:posOffset>
            </wp:positionV>
            <wp:extent cx="2955925" cy="2298065"/>
            <wp:effectExtent l="0" t="0" r="0" b="698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5925" cy="2298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2D0">
        <w:rPr>
          <w:noProof/>
        </w:rPr>
        <w:drawing>
          <wp:inline distT="0" distB="0" distL="0" distR="0">
            <wp:extent cx="3293902" cy="230817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P aeri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8154" cy="2304144"/>
                    </a:xfrm>
                    <a:prstGeom prst="rect">
                      <a:avLst/>
                    </a:prstGeom>
                  </pic:spPr>
                </pic:pic>
              </a:graphicData>
            </a:graphic>
          </wp:inline>
        </w:drawing>
      </w:r>
      <w:r w:rsidR="006230E2">
        <w:t xml:space="preserve">      </w:t>
      </w:r>
    </w:p>
    <w:p w:rsidR="00D60269" w:rsidRPr="00B442EE" w:rsidRDefault="006230E2" w:rsidP="00D60269">
      <w:pPr>
        <w:spacing w:after="0"/>
        <w:rPr>
          <w:sz w:val="20"/>
          <w:szCs w:val="20"/>
        </w:rPr>
      </w:pPr>
      <w:r>
        <w:rPr>
          <w:sz w:val="20"/>
          <w:szCs w:val="20"/>
        </w:rPr>
        <w:t>Before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D60269" w:rsidRPr="00B442EE">
        <w:rPr>
          <w:sz w:val="20"/>
          <w:szCs w:val="20"/>
        </w:rPr>
        <w:t>After</w:t>
      </w:r>
    </w:p>
    <w:p w:rsidR="00D60269" w:rsidRPr="00B442EE" w:rsidRDefault="00D60269" w:rsidP="00D60269">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60269" w:rsidRPr="00B442EE" w:rsidTr="00B442EE">
        <w:tc>
          <w:tcPr>
            <w:tcW w:w="11016" w:type="dxa"/>
          </w:tcPr>
          <w:p w:rsidR="00D60269" w:rsidRPr="00B442EE" w:rsidRDefault="00D60269" w:rsidP="00D60269">
            <w:pPr>
              <w:rPr>
                <w:b/>
                <w:sz w:val="20"/>
                <w:szCs w:val="20"/>
                <w:u w:val="single"/>
              </w:rPr>
            </w:pPr>
            <w:r w:rsidRPr="00B442EE">
              <w:rPr>
                <w:b/>
                <w:sz w:val="20"/>
                <w:szCs w:val="20"/>
                <w:u w:val="single"/>
              </w:rPr>
              <w:t>Purpose:</w:t>
            </w:r>
          </w:p>
        </w:tc>
      </w:tr>
      <w:tr w:rsidR="00D60269" w:rsidRPr="00B442EE" w:rsidTr="00B442EE">
        <w:tc>
          <w:tcPr>
            <w:tcW w:w="11016" w:type="dxa"/>
          </w:tcPr>
          <w:p w:rsidR="00D60269" w:rsidRPr="00B442EE" w:rsidRDefault="008C4D21" w:rsidP="00D60269">
            <w:pPr>
              <w:rPr>
                <w:sz w:val="20"/>
                <w:szCs w:val="20"/>
              </w:rPr>
            </w:pPr>
            <w:r w:rsidRPr="008C4D21">
              <w:rPr>
                <w:sz w:val="20"/>
                <w:szCs w:val="20"/>
              </w:rPr>
              <w:t>In accordance with the Bicycle Master Plan, will complete bicycle lanes on both sides of the remaining section of College Station Road between Research Drive and Barnett Shoals Road.</w:t>
            </w:r>
            <w:r w:rsidR="00C15514">
              <w:rPr>
                <w:sz w:val="20"/>
                <w:szCs w:val="20"/>
              </w:rPr>
              <w:t xml:space="preserve"> </w:t>
            </w:r>
          </w:p>
          <w:p w:rsidR="00D60269" w:rsidRPr="00B442EE" w:rsidRDefault="00D60269" w:rsidP="00D60269">
            <w:pPr>
              <w:rPr>
                <w:sz w:val="20"/>
                <w:szCs w:val="20"/>
              </w:rPr>
            </w:pPr>
          </w:p>
        </w:tc>
      </w:tr>
      <w:tr w:rsidR="00D60269" w:rsidRPr="00B442EE" w:rsidTr="00B442EE">
        <w:tc>
          <w:tcPr>
            <w:tcW w:w="11016" w:type="dxa"/>
          </w:tcPr>
          <w:p w:rsidR="00D60269" w:rsidRPr="00B442EE" w:rsidRDefault="00D60269" w:rsidP="00D60269">
            <w:pPr>
              <w:rPr>
                <w:b/>
                <w:sz w:val="20"/>
                <w:szCs w:val="20"/>
                <w:u w:val="single"/>
              </w:rPr>
            </w:pPr>
            <w:r w:rsidRPr="00B442EE">
              <w:rPr>
                <w:b/>
                <w:sz w:val="20"/>
                <w:szCs w:val="20"/>
                <w:u w:val="single"/>
              </w:rPr>
              <w:t>Project Details:</w:t>
            </w:r>
          </w:p>
        </w:tc>
      </w:tr>
      <w:tr w:rsidR="00D60269" w:rsidRPr="00B442EE" w:rsidTr="00B442EE">
        <w:tc>
          <w:tcPr>
            <w:tcW w:w="11016" w:type="dxa"/>
          </w:tcPr>
          <w:p w:rsidR="00F026EC" w:rsidRDefault="008C4D21" w:rsidP="00F026EC">
            <w:pPr>
              <w:rPr>
                <w:sz w:val="20"/>
                <w:szCs w:val="20"/>
              </w:rPr>
            </w:pPr>
            <w:r w:rsidRPr="008C4D21">
              <w:rPr>
                <w:sz w:val="20"/>
                <w:szCs w:val="20"/>
              </w:rPr>
              <w:t>The construction will include widening of the road to accommodate the five-foot wide bicycle lanes on both sides and the addition of new five-foot wide sidewalks where none exist. The widening will be limited to one side of College Station Road as much as possible to minimize impacts to existing utilities, roadway features, and property acquisition needs.</w:t>
            </w:r>
          </w:p>
          <w:p w:rsidR="00F026EC" w:rsidRDefault="00F026EC" w:rsidP="00F026EC">
            <w:pPr>
              <w:rPr>
                <w:sz w:val="20"/>
                <w:szCs w:val="20"/>
              </w:rPr>
            </w:pPr>
          </w:p>
          <w:p w:rsidR="00F026EC" w:rsidRPr="00B442EE" w:rsidRDefault="00F026EC" w:rsidP="00F026EC">
            <w:pPr>
              <w:rPr>
                <w:sz w:val="20"/>
                <w:szCs w:val="20"/>
              </w:rPr>
            </w:pPr>
          </w:p>
          <w:p w:rsidR="00D60269" w:rsidRPr="00B442EE" w:rsidRDefault="00D60269" w:rsidP="00C15514">
            <w:pPr>
              <w:rPr>
                <w:sz w:val="20"/>
                <w:szCs w:val="20"/>
              </w:rPr>
            </w:pPr>
          </w:p>
        </w:tc>
      </w:tr>
    </w:tbl>
    <w:p w:rsidR="00D60269" w:rsidRDefault="00D60269" w:rsidP="00D60269">
      <w:pPr>
        <w:spacing w:after="0"/>
        <w:rPr>
          <w:sz w:val="20"/>
          <w:szCs w:val="20"/>
        </w:rPr>
      </w:pPr>
    </w:p>
    <w:tbl>
      <w:tblPr>
        <w:tblStyle w:val="TableGrid"/>
        <w:tblW w:w="0" w:type="auto"/>
        <w:tblInd w:w="517" w:type="dxa"/>
        <w:tblLook w:val="04A0" w:firstRow="1" w:lastRow="0" w:firstColumn="1" w:lastColumn="0" w:noHBand="0" w:noVBand="1"/>
      </w:tblPr>
      <w:tblGrid>
        <w:gridCol w:w="1411"/>
        <w:gridCol w:w="1549"/>
        <w:gridCol w:w="1740"/>
        <w:gridCol w:w="1418"/>
        <w:gridCol w:w="1418"/>
        <w:gridCol w:w="1294"/>
        <w:gridCol w:w="1220"/>
      </w:tblGrid>
      <w:tr w:rsidR="007676ED" w:rsidTr="001C56E8">
        <w:trPr>
          <w:trHeight w:val="218"/>
        </w:trPr>
        <w:tc>
          <w:tcPr>
            <w:tcW w:w="1411" w:type="dxa"/>
          </w:tcPr>
          <w:p w:rsidR="007676ED" w:rsidRPr="00411749" w:rsidRDefault="007676ED" w:rsidP="00D60269">
            <w:pPr>
              <w:rPr>
                <w:b/>
                <w:sz w:val="20"/>
                <w:szCs w:val="20"/>
                <w:u w:val="single"/>
              </w:rPr>
            </w:pPr>
            <w:r w:rsidRPr="00411749">
              <w:rPr>
                <w:b/>
                <w:sz w:val="20"/>
                <w:szCs w:val="20"/>
                <w:u w:val="single"/>
              </w:rPr>
              <w:t>Phase</w:t>
            </w:r>
          </w:p>
        </w:tc>
        <w:tc>
          <w:tcPr>
            <w:tcW w:w="1549" w:type="dxa"/>
          </w:tcPr>
          <w:p w:rsidR="007676ED" w:rsidRPr="00411749" w:rsidRDefault="007676ED" w:rsidP="00D60269">
            <w:pPr>
              <w:rPr>
                <w:b/>
                <w:sz w:val="20"/>
                <w:szCs w:val="20"/>
                <w:u w:val="single"/>
              </w:rPr>
            </w:pPr>
            <w:r w:rsidRPr="00411749">
              <w:rPr>
                <w:b/>
                <w:sz w:val="20"/>
                <w:szCs w:val="20"/>
                <w:u w:val="single"/>
              </w:rPr>
              <w:t>Agenda Date</w:t>
            </w:r>
          </w:p>
        </w:tc>
        <w:tc>
          <w:tcPr>
            <w:tcW w:w="1740" w:type="dxa"/>
          </w:tcPr>
          <w:p w:rsidR="007676ED" w:rsidRPr="00411749" w:rsidRDefault="007676ED" w:rsidP="00D60269">
            <w:pPr>
              <w:rPr>
                <w:b/>
                <w:sz w:val="20"/>
                <w:szCs w:val="20"/>
                <w:u w:val="single"/>
              </w:rPr>
            </w:pPr>
            <w:r w:rsidRPr="00411749">
              <w:rPr>
                <w:b/>
                <w:sz w:val="20"/>
                <w:szCs w:val="20"/>
                <w:u w:val="single"/>
              </w:rPr>
              <w:t>Funding Source</w:t>
            </w:r>
          </w:p>
        </w:tc>
        <w:tc>
          <w:tcPr>
            <w:tcW w:w="1418" w:type="dxa"/>
          </w:tcPr>
          <w:p w:rsidR="007676ED" w:rsidRPr="00411749" w:rsidRDefault="007676ED" w:rsidP="00D60269">
            <w:pPr>
              <w:rPr>
                <w:b/>
                <w:sz w:val="20"/>
                <w:szCs w:val="20"/>
                <w:u w:val="single"/>
              </w:rPr>
            </w:pPr>
            <w:r w:rsidRPr="00411749">
              <w:rPr>
                <w:b/>
                <w:sz w:val="20"/>
                <w:szCs w:val="20"/>
                <w:u w:val="single"/>
              </w:rPr>
              <w:t>Budget</w:t>
            </w:r>
          </w:p>
        </w:tc>
        <w:tc>
          <w:tcPr>
            <w:tcW w:w="1418" w:type="dxa"/>
          </w:tcPr>
          <w:p w:rsidR="007676ED" w:rsidRPr="00411749" w:rsidRDefault="007676ED" w:rsidP="00D60269">
            <w:pPr>
              <w:rPr>
                <w:b/>
                <w:sz w:val="20"/>
                <w:szCs w:val="20"/>
                <w:u w:val="single"/>
              </w:rPr>
            </w:pPr>
            <w:r w:rsidRPr="00411749">
              <w:rPr>
                <w:b/>
                <w:sz w:val="20"/>
                <w:szCs w:val="20"/>
                <w:u w:val="single"/>
              </w:rPr>
              <w:t>Actual</w:t>
            </w:r>
          </w:p>
        </w:tc>
        <w:tc>
          <w:tcPr>
            <w:tcW w:w="1294" w:type="dxa"/>
          </w:tcPr>
          <w:p w:rsidR="007676ED" w:rsidRPr="00411749" w:rsidRDefault="007676ED" w:rsidP="00D60269">
            <w:pPr>
              <w:rPr>
                <w:b/>
                <w:sz w:val="20"/>
                <w:szCs w:val="20"/>
                <w:u w:val="single"/>
              </w:rPr>
            </w:pPr>
            <w:r w:rsidRPr="00411749">
              <w:rPr>
                <w:b/>
                <w:sz w:val="20"/>
                <w:szCs w:val="20"/>
                <w:u w:val="single"/>
              </w:rPr>
              <w:t>Begin Date</w:t>
            </w:r>
          </w:p>
        </w:tc>
        <w:tc>
          <w:tcPr>
            <w:tcW w:w="1220" w:type="dxa"/>
          </w:tcPr>
          <w:p w:rsidR="007676ED" w:rsidRPr="00411749" w:rsidRDefault="007676ED" w:rsidP="00D60269">
            <w:pPr>
              <w:rPr>
                <w:b/>
                <w:sz w:val="20"/>
                <w:szCs w:val="20"/>
                <w:u w:val="single"/>
              </w:rPr>
            </w:pPr>
            <w:r w:rsidRPr="00411749">
              <w:rPr>
                <w:b/>
                <w:sz w:val="20"/>
                <w:szCs w:val="20"/>
                <w:u w:val="single"/>
              </w:rPr>
              <w:t>End Date</w:t>
            </w:r>
          </w:p>
        </w:tc>
      </w:tr>
      <w:tr w:rsidR="007676ED" w:rsidTr="00AC2336">
        <w:trPr>
          <w:trHeight w:val="287"/>
        </w:trPr>
        <w:tc>
          <w:tcPr>
            <w:tcW w:w="1411" w:type="dxa"/>
          </w:tcPr>
          <w:p w:rsidR="007676ED" w:rsidRDefault="007676ED" w:rsidP="00D60269">
            <w:pPr>
              <w:rPr>
                <w:sz w:val="20"/>
                <w:szCs w:val="20"/>
              </w:rPr>
            </w:pPr>
            <w:r>
              <w:rPr>
                <w:sz w:val="20"/>
                <w:szCs w:val="20"/>
              </w:rPr>
              <w:t>Concept</w:t>
            </w:r>
          </w:p>
        </w:tc>
        <w:tc>
          <w:tcPr>
            <w:tcW w:w="1549" w:type="dxa"/>
          </w:tcPr>
          <w:p w:rsidR="007676ED" w:rsidRPr="00F026EC" w:rsidRDefault="001D0F7B" w:rsidP="00B366E0">
            <w:pPr>
              <w:rPr>
                <w:sz w:val="20"/>
                <w:szCs w:val="20"/>
              </w:rPr>
            </w:pPr>
            <w:r>
              <w:rPr>
                <w:sz w:val="20"/>
                <w:szCs w:val="20"/>
              </w:rPr>
              <w:t>Oct. 20</w:t>
            </w:r>
            <w:r w:rsidR="00897D46">
              <w:rPr>
                <w:sz w:val="20"/>
                <w:szCs w:val="20"/>
              </w:rPr>
              <w:t>13</w:t>
            </w:r>
          </w:p>
        </w:tc>
        <w:tc>
          <w:tcPr>
            <w:tcW w:w="1740" w:type="dxa"/>
          </w:tcPr>
          <w:p w:rsidR="007676ED" w:rsidRPr="00F026EC" w:rsidRDefault="00897D46" w:rsidP="00D60269">
            <w:pPr>
              <w:rPr>
                <w:sz w:val="20"/>
                <w:szCs w:val="20"/>
              </w:rPr>
            </w:pPr>
            <w:r>
              <w:rPr>
                <w:sz w:val="20"/>
                <w:szCs w:val="20"/>
              </w:rPr>
              <w:t>SPLOST 2011</w:t>
            </w:r>
          </w:p>
        </w:tc>
        <w:tc>
          <w:tcPr>
            <w:tcW w:w="1418" w:type="dxa"/>
          </w:tcPr>
          <w:p w:rsidR="007676ED" w:rsidRPr="00F026EC" w:rsidRDefault="007676ED" w:rsidP="00897D46">
            <w:pPr>
              <w:jc w:val="right"/>
              <w:rPr>
                <w:sz w:val="20"/>
                <w:szCs w:val="20"/>
              </w:rPr>
            </w:pPr>
          </w:p>
        </w:tc>
        <w:tc>
          <w:tcPr>
            <w:tcW w:w="1418" w:type="dxa"/>
          </w:tcPr>
          <w:p w:rsidR="007676ED" w:rsidRPr="00F026EC" w:rsidRDefault="007676ED" w:rsidP="00897D46">
            <w:pPr>
              <w:jc w:val="right"/>
              <w:rPr>
                <w:sz w:val="20"/>
                <w:szCs w:val="20"/>
              </w:rPr>
            </w:pPr>
          </w:p>
        </w:tc>
        <w:tc>
          <w:tcPr>
            <w:tcW w:w="1294" w:type="dxa"/>
          </w:tcPr>
          <w:p w:rsidR="007676ED" w:rsidRPr="00F026EC" w:rsidRDefault="001C56E8" w:rsidP="00B366E0">
            <w:pPr>
              <w:rPr>
                <w:sz w:val="20"/>
                <w:szCs w:val="20"/>
              </w:rPr>
            </w:pPr>
            <w:r>
              <w:rPr>
                <w:sz w:val="20"/>
                <w:szCs w:val="20"/>
              </w:rPr>
              <w:t>Oct. 2013</w:t>
            </w:r>
          </w:p>
        </w:tc>
        <w:tc>
          <w:tcPr>
            <w:tcW w:w="1220" w:type="dxa"/>
          </w:tcPr>
          <w:p w:rsidR="007676ED" w:rsidRPr="00F026EC" w:rsidRDefault="001C56E8" w:rsidP="00D60269">
            <w:pPr>
              <w:rPr>
                <w:sz w:val="20"/>
                <w:szCs w:val="20"/>
              </w:rPr>
            </w:pPr>
            <w:r>
              <w:rPr>
                <w:sz w:val="20"/>
                <w:szCs w:val="20"/>
              </w:rPr>
              <w:t>March 2014</w:t>
            </w:r>
          </w:p>
        </w:tc>
      </w:tr>
      <w:tr w:rsidR="007676ED" w:rsidTr="001C56E8">
        <w:trPr>
          <w:trHeight w:val="218"/>
        </w:trPr>
        <w:tc>
          <w:tcPr>
            <w:tcW w:w="1411" w:type="dxa"/>
          </w:tcPr>
          <w:p w:rsidR="007676ED" w:rsidRDefault="007676ED" w:rsidP="00F026EC">
            <w:pPr>
              <w:rPr>
                <w:sz w:val="20"/>
                <w:szCs w:val="20"/>
              </w:rPr>
            </w:pPr>
            <w:r>
              <w:rPr>
                <w:sz w:val="20"/>
                <w:szCs w:val="20"/>
              </w:rPr>
              <w:t>PE Design</w:t>
            </w:r>
          </w:p>
        </w:tc>
        <w:tc>
          <w:tcPr>
            <w:tcW w:w="1549" w:type="dxa"/>
          </w:tcPr>
          <w:p w:rsidR="001D0F7B" w:rsidRPr="00F026EC" w:rsidRDefault="001D0F7B" w:rsidP="00B366E0">
            <w:pPr>
              <w:rPr>
                <w:sz w:val="20"/>
                <w:szCs w:val="20"/>
              </w:rPr>
            </w:pPr>
            <w:r>
              <w:rPr>
                <w:sz w:val="20"/>
                <w:szCs w:val="20"/>
              </w:rPr>
              <w:t>July 2014</w:t>
            </w:r>
          </w:p>
        </w:tc>
        <w:tc>
          <w:tcPr>
            <w:tcW w:w="1740" w:type="dxa"/>
          </w:tcPr>
          <w:p w:rsidR="007676ED" w:rsidRPr="00F026EC" w:rsidRDefault="001D0F7B" w:rsidP="00D60269">
            <w:pPr>
              <w:rPr>
                <w:sz w:val="20"/>
                <w:szCs w:val="20"/>
              </w:rPr>
            </w:pPr>
            <w:r>
              <w:rPr>
                <w:sz w:val="20"/>
                <w:szCs w:val="20"/>
              </w:rPr>
              <w:t>SPLOST 2011</w:t>
            </w:r>
          </w:p>
        </w:tc>
        <w:tc>
          <w:tcPr>
            <w:tcW w:w="1418" w:type="dxa"/>
          </w:tcPr>
          <w:p w:rsidR="007676ED" w:rsidRPr="00F026EC" w:rsidRDefault="00694C76" w:rsidP="00897D46">
            <w:pPr>
              <w:jc w:val="right"/>
              <w:rPr>
                <w:sz w:val="20"/>
                <w:szCs w:val="20"/>
              </w:rPr>
            </w:pPr>
            <w:r>
              <w:rPr>
                <w:sz w:val="20"/>
                <w:szCs w:val="20"/>
              </w:rPr>
              <w:t>$102,333</w:t>
            </w:r>
          </w:p>
        </w:tc>
        <w:tc>
          <w:tcPr>
            <w:tcW w:w="1418" w:type="dxa"/>
          </w:tcPr>
          <w:p w:rsidR="007676ED" w:rsidRPr="00F026EC" w:rsidRDefault="00694C76" w:rsidP="00897D46">
            <w:pPr>
              <w:jc w:val="right"/>
              <w:rPr>
                <w:sz w:val="20"/>
                <w:szCs w:val="20"/>
              </w:rPr>
            </w:pPr>
            <w:r>
              <w:rPr>
                <w:sz w:val="20"/>
                <w:szCs w:val="20"/>
              </w:rPr>
              <w:t>$289,141</w:t>
            </w:r>
          </w:p>
        </w:tc>
        <w:tc>
          <w:tcPr>
            <w:tcW w:w="1294" w:type="dxa"/>
          </w:tcPr>
          <w:p w:rsidR="007676ED" w:rsidRPr="00F026EC" w:rsidRDefault="00AC2336" w:rsidP="00B366E0">
            <w:pPr>
              <w:rPr>
                <w:sz w:val="20"/>
                <w:szCs w:val="20"/>
              </w:rPr>
            </w:pPr>
            <w:r>
              <w:rPr>
                <w:sz w:val="20"/>
                <w:szCs w:val="20"/>
              </w:rPr>
              <w:t>July 2014</w:t>
            </w:r>
          </w:p>
        </w:tc>
        <w:tc>
          <w:tcPr>
            <w:tcW w:w="1220" w:type="dxa"/>
          </w:tcPr>
          <w:p w:rsidR="007676ED" w:rsidRPr="00F026EC" w:rsidRDefault="00AC2336" w:rsidP="00D60269">
            <w:pPr>
              <w:rPr>
                <w:sz w:val="20"/>
                <w:szCs w:val="20"/>
              </w:rPr>
            </w:pPr>
            <w:r>
              <w:rPr>
                <w:sz w:val="20"/>
                <w:szCs w:val="20"/>
              </w:rPr>
              <w:t>Aug. 2016</w:t>
            </w:r>
          </w:p>
        </w:tc>
      </w:tr>
      <w:tr w:rsidR="007676ED" w:rsidTr="001C56E8">
        <w:trPr>
          <w:trHeight w:val="218"/>
        </w:trPr>
        <w:tc>
          <w:tcPr>
            <w:tcW w:w="1411" w:type="dxa"/>
          </w:tcPr>
          <w:p w:rsidR="007676ED" w:rsidRDefault="007676ED" w:rsidP="000D054F">
            <w:pPr>
              <w:rPr>
                <w:sz w:val="20"/>
                <w:szCs w:val="20"/>
              </w:rPr>
            </w:pPr>
            <w:r>
              <w:rPr>
                <w:sz w:val="20"/>
                <w:szCs w:val="20"/>
              </w:rPr>
              <w:t>ROW</w:t>
            </w:r>
          </w:p>
        </w:tc>
        <w:tc>
          <w:tcPr>
            <w:tcW w:w="1549" w:type="dxa"/>
          </w:tcPr>
          <w:p w:rsidR="007676ED" w:rsidRPr="00F026EC" w:rsidRDefault="007676ED" w:rsidP="000D054F">
            <w:pPr>
              <w:rPr>
                <w:sz w:val="20"/>
                <w:szCs w:val="20"/>
              </w:rPr>
            </w:pPr>
          </w:p>
        </w:tc>
        <w:tc>
          <w:tcPr>
            <w:tcW w:w="1740" w:type="dxa"/>
          </w:tcPr>
          <w:p w:rsidR="007676ED" w:rsidRPr="00F026EC" w:rsidRDefault="001D0F7B" w:rsidP="000D054F">
            <w:pPr>
              <w:rPr>
                <w:sz w:val="20"/>
                <w:szCs w:val="20"/>
              </w:rPr>
            </w:pPr>
            <w:r>
              <w:rPr>
                <w:sz w:val="20"/>
                <w:szCs w:val="20"/>
              </w:rPr>
              <w:t>SPLOST 2011</w:t>
            </w:r>
          </w:p>
        </w:tc>
        <w:tc>
          <w:tcPr>
            <w:tcW w:w="1418" w:type="dxa"/>
          </w:tcPr>
          <w:p w:rsidR="007676ED" w:rsidRPr="00F026EC" w:rsidRDefault="007676ED" w:rsidP="00897D46">
            <w:pPr>
              <w:jc w:val="right"/>
              <w:rPr>
                <w:sz w:val="20"/>
                <w:szCs w:val="20"/>
              </w:rPr>
            </w:pPr>
          </w:p>
        </w:tc>
        <w:tc>
          <w:tcPr>
            <w:tcW w:w="1418" w:type="dxa"/>
          </w:tcPr>
          <w:p w:rsidR="007676ED" w:rsidRPr="00F026EC" w:rsidRDefault="00694C76" w:rsidP="00897D46">
            <w:pPr>
              <w:jc w:val="right"/>
              <w:rPr>
                <w:sz w:val="20"/>
                <w:szCs w:val="20"/>
              </w:rPr>
            </w:pPr>
            <w:r>
              <w:rPr>
                <w:sz w:val="20"/>
                <w:szCs w:val="20"/>
              </w:rPr>
              <w:t>$44,722</w:t>
            </w:r>
          </w:p>
        </w:tc>
        <w:tc>
          <w:tcPr>
            <w:tcW w:w="1294" w:type="dxa"/>
          </w:tcPr>
          <w:p w:rsidR="007676ED" w:rsidRPr="00F026EC" w:rsidRDefault="00694C76" w:rsidP="000D054F">
            <w:pPr>
              <w:rPr>
                <w:sz w:val="20"/>
                <w:szCs w:val="20"/>
              </w:rPr>
            </w:pPr>
            <w:r>
              <w:rPr>
                <w:sz w:val="20"/>
                <w:szCs w:val="20"/>
              </w:rPr>
              <w:t>Jan. 2015</w:t>
            </w:r>
          </w:p>
        </w:tc>
        <w:tc>
          <w:tcPr>
            <w:tcW w:w="1220" w:type="dxa"/>
          </w:tcPr>
          <w:p w:rsidR="007676ED" w:rsidRPr="00F026EC" w:rsidRDefault="00694C76" w:rsidP="00D60269">
            <w:pPr>
              <w:rPr>
                <w:sz w:val="20"/>
                <w:szCs w:val="20"/>
              </w:rPr>
            </w:pPr>
            <w:r>
              <w:rPr>
                <w:sz w:val="20"/>
                <w:szCs w:val="20"/>
              </w:rPr>
              <w:t>June 2016</w:t>
            </w:r>
          </w:p>
        </w:tc>
      </w:tr>
      <w:tr w:rsidR="007676ED" w:rsidTr="001C56E8">
        <w:trPr>
          <w:trHeight w:val="218"/>
        </w:trPr>
        <w:tc>
          <w:tcPr>
            <w:tcW w:w="1411" w:type="dxa"/>
          </w:tcPr>
          <w:p w:rsidR="007676ED" w:rsidRDefault="007676ED" w:rsidP="00D60269">
            <w:pPr>
              <w:rPr>
                <w:sz w:val="20"/>
                <w:szCs w:val="20"/>
              </w:rPr>
            </w:pPr>
            <w:r>
              <w:rPr>
                <w:sz w:val="20"/>
                <w:szCs w:val="20"/>
              </w:rPr>
              <w:t>Construction</w:t>
            </w:r>
          </w:p>
        </w:tc>
        <w:tc>
          <w:tcPr>
            <w:tcW w:w="1549" w:type="dxa"/>
          </w:tcPr>
          <w:p w:rsidR="007676ED" w:rsidRPr="00F026EC" w:rsidRDefault="001D0F7B" w:rsidP="00D60269">
            <w:pPr>
              <w:rPr>
                <w:sz w:val="20"/>
                <w:szCs w:val="20"/>
              </w:rPr>
            </w:pPr>
            <w:r>
              <w:rPr>
                <w:sz w:val="20"/>
                <w:szCs w:val="20"/>
              </w:rPr>
              <w:t>Dec. 2015</w:t>
            </w:r>
          </w:p>
        </w:tc>
        <w:tc>
          <w:tcPr>
            <w:tcW w:w="1740" w:type="dxa"/>
          </w:tcPr>
          <w:p w:rsidR="007676ED" w:rsidRPr="00F026EC" w:rsidRDefault="001D0F7B" w:rsidP="00D60269">
            <w:pPr>
              <w:rPr>
                <w:sz w:val="20"/>
                <w:szCs w:val="20"/>
              </w:rPr>
            </w:pPr>
            <w:r>
              <w:rPr>
                <w:sz w:val="20"/>
                <w:szCs w:val="20"/>
              </w:rPr>
              <w:t>SPLOST 2011</w:t>
            </w:r>
          </w:p>
        </w:tc>
        <w:tc>
          <w:tcPr>
            <w:tcW w:w="1418" w:type="dxa"/>
          </w:tcPr>
          <w:p w:rsidR="007676ED" w:rsidRPr="00F026EC" w:rsidRDefault="001D0F7B" w:rsidP="00897D46">
            <w:pPr>
              <w:jc w:val="right"/>
              <w:rPr>
                <w:sz w:val="20"/>
                <w:szCs w:val="20"/>
              </w:rPr>
            </w:pPr>
            <w:r>
              <w:rPr>
                <w:sz w:val="20"/>
                <w:szCs w:val="20"/>
              </w:rPr>
              <w:t>$2,751,670</w:t>
            </w:r>
          </w:p>
        </w:tc>
        <w:tc>
          <w:tcPr>
            <w:tcW w:w="1418" w:type="dxa"/>
          </w:tcPr>
          <w:p w:rsidR="007676ED" w:rsidRPr="00F026EC" w:rsidRDefault="002E3D1E" w:rsidP="002E3D1E">
            <w:pPr>
              <w:jc w:val="right"/>
              <w:rPr>
                <w:sz w:val="20"/>
                <w:szCs w:val="20"/>
              </w:rPr>
            </w:pPr>
            <w:r>
              <w:rPr>
                <w:sz w:val="20"/>
                <w:szCs w:val="20"/>
              </w:rPr>
              <w:t>$2,942,044</w:t>
            </w:r>
          </w:p>
        </w:tc>
        <w:tc>
          <w:tcPr>
            <w:tcW w:w="1294" w:type="dxa"/>
          </w:tcPr>
          <w:p w:rsidR="007676ED" w:rsidRPr="00F026EC" w:rsidRDefault="00694C76" w:rsidP="00D60269">
            <w:pPr>
              <w:rPr>
                <w:sz w:val="20"/>
                <w:szCs w:val="20"/>
              </w:rPr>
            </w:pPr>
            <w:r>
              <w:rPr>
                <w:sz w:val="20"/>
                <w:szCs w:val="20"/>
              </w:rPr>
              <w:t>Jan. 2016</w:t>
            </w:r>
          </w:p>
        </w:tc>
        <w:tc>
          <w:tcPr>
            <w:tcW w:w="1220" w:type="dxa"/>
          </w:tcPr>
          <w:p w:rsidR="007676ED" w:rsidRPr="00F026EC" w:rsidRDefault="002E3D1E" w:rsidP="00D60269">
            <w:pPr>
              <w:rPr>
                <w:sz w:val="20"/>
                <w:szCs w:val="20"/>
              </w:rPr>
            </w:pPr>
            <w:r>
              <w:rPr>
                <w:sz w:val="20"/>
                <w:szCs w:val="20"/>
              </w:rPr>
              <w:t>July 2017</w:t>
            </w:r>
          </w:p>
        </w:tc>
      </w:tr>
    </w:tbl>
    <w:p w:rsidR="00B442EE" w:rsidRDefault="00B442EE" w:rsidP="00D60269">
      <w:pPr>
        <w:spacing w:after="0"/>
        <w:rPr>
          <w:sz w:val="20"/>
          <w:szCs w:val="20"/>
        </w:rPr>
      </w:pPr>
    </w:p>
    <w:p w:rsidR="00B442EE" w:rsidRDefault="00B442EE" w:rsidP="00B442EE">
      <w:pPr>
        <w:spacing w:after="0"/>
        <w:rPr>
          <w:sz w:val="20"/>
          <w:szCs w:val="20"/>
        </w:rPr>
      </w:pPr>
      <w:r>
        <w:rPr>
          <w:sz w:val="20"/>
          <w:szCs w:val="20"/>
        </w:rPr>
        <w:t>Concept:</w:t>
      </w:r>
      <w:r>
        <w:rPr>
          <w:sz w:val="20"/>
          <w:szCs w:val="20"/>
        </w:rPr>
        <w:tab/>
      </w:r>
      <w:proofErr w:type="spellStart"/>
      <w:r w:rsidR="00897D46">
        <w:rPr>
          <w:sz w:val="20"/>
          <w:szCs w:val="20"/>
        </w:rPr>
        <w:t>Arcadis</w:t>
      </w:r>
      <w:proofErr w:type="spellEnd"/>
      <w:r w:rsidR="00897D46">
        <w:rPr>
          <w:sz w:val="20"/>
          <w:szCs w:val="20"/>
        </w:rPr>
        <w:tab/>
      </w:r>
      <w:r w:rsidR="00F026EC">
        <w:rPr>
          <w:sz w:val="20"/>
          <w:szCs w:val="20"/>
        </w:rPr>
        <w:tab/>
      </w:r>
      <w:r w:rsidR="00F026EC">
        <w:rPr>
          <w:sz w:val="20"/>
          <w:szCs w:val="20"/>
        </w:rPr>
        <w:tab/>
      </w:r>
      <w:r w:rsidR="00897D46">
        <w:rPr>
          <w:sz w:val="20"/>
          <w:szCs w:val="20"/>
        </w:rPr>
        <w:t>David Clark</w:t>
      </w:r>
      <w:r>
        <w:rPr>
          <w:sz w:val="20"/>
          <w:szCs w:val="20"/>
        </w:rPr>
        <w:tab/>
      </w:r>
      <w:r>
        <w:rPr>
          <w:sz w:val="20"/>
          <w:szCs w:val="20"/>
        </w:rPr>
        <w:tab/>
      </w:r>
      <w:r>
        <w:rPr>
          <w:sz w:val="20"/>
          <w:szCs w:val="20"/>
        </w:rPr>
        <w:tab/>
      </w:r>
    </w:p>
    <w:p w:rsidR="00F026EC" w:rsidRDefault="00B442EE" w:rsidP="00D60269">
      <w:pPr>
        <w:spacing w:after="0"/>
        <w:rPr>
          <w:sz w:val="20"/>
          <w:szCs w:val="20"/>
        </w:rPr>
      </w:pPr>
      <w:r>
        <w:rPr>
          <w:sz w:val="20"/>
          <w:szCs w:val="20"/>
        </w:rPr>
        <w:t>Design:</w:t>
      </w:r>
      <w:r>
        <w:rPr>
          <w:sz w:val="20"/>
          <w:szCs w:val="20"/>
        </w:rPr>
        <w:tab/>
      </w:r>
      <w:r>
        <w:rPr>
          <w:sz w:val="20"/>
          <w:szCs w:val="20"/>
        </w:rPr>
        <w:tab/>
      </w:r>
      <w:proofErr w:type="spellStart"/>
      <w:r w:rsidR="008C4D21">
        <w:rPr>
          <w:sz w:val="20"/>
          <w:szCs w:val="20"/>
        </w:rPr>
        <w:t>Arcadis</w:t>
      </w:r>
      <w:proofErr w:type="spellEnd"/>
      <w:r w:rsidR="008C4D21">
        <w:rPr>
          <w:sz w:val="20"/>
          <w:szCs w:val="20"/>
        </w:rPr>
        <w:t xml:space="preserve"> </w:t>
      </w:r>
      <w:r w:rsidR="008C4D21">
        <w:rPr>
          <w:sz w:val="20"/>
          <w:szCs w:val="20"/>
        </w:rPr>
        <w:tab/>
      </w:r>
      <w:r w:rsidR="00F026EC">
        <w:rPr>
          <w:sz w:val="20"/>
          <w:szCs w:val="20"/>
        </w:rPr>
        <w:tab/>
      </w:r>
      <w:r w:rsidR="00F026EC">
        <w:rPr>
          <w:sz w:val="20"/>
          <w:szCs w:val="20"/>
        </w:rPr>
        <w:tab/>
      </w:r>
      <w:r w:rsidR="008C4D21">
        <w:rPr>
          <w:sz w:val="20"/>
          <w:szCs w:val="20"/>
        </w:rPr>
        <w:t>David Clark</w:t>
      </w:r>
    </w:p>
    <w:p w:rsidR="00B442EE" w:rsidRDefault="00F026EC" w:rsidP="00D60269">
      <w:pPr>
        <w:spacing w:after="0"/>
        <w:rPr>
          <w:sz w:val="20"/>
          <w:szCs w:val="20"/>
        </w:rPr>
      </w:pPr>
      <w:r>
        <w:rPr>
          <w:sz w:val="20"/>
          <w:szCs w:val="20"/>
        </w:rPr>
        <w:t>Construction:</w:t>
      </w:r>
      <w:r>
        <w:rPr>
          <w:sz w:val="20"/>
          <w:szCs w:val="20"/>
        </w:rPr>
        <w:tab/>
        <w:t>Contractor</w:t>
      </w:r>
      <w:r>
        <w:rPr>
          <w:sz w:val="20"/>
          <w:szCs w:val="20"/>
        </w:rPr>
        <w:tab/>
      </w:r>
      <w:r>
        <w:rPr>
          <w:sz w:val="20"/>
          <w:szCs w:val="20"/>
        </w:rPr>
        <w:tab/>
      </w:r>
      <w:r w:rsidR="001C56E8">
        <w:rPr>
          <w:sz w:val="20"/>
          <w:szCs w:val="20"/>
        </w:rPr>
        <w:t>David Ayers</w:t>
      </w:r>
    </w:p>
    <w:p w:rsidR="00F026EC" w:rsidRDefault="00B442EE" w:rsidP="00D60269">
      <w:pPr>
        <w:spacing w:after="0"/>
        <w:rPr>
          <w:sz w:val="20"/>
          <w:szCs w:val="20"/>
        </w:rPr>
      </w:pPr>
      <w:r>
        <w:rPr>
          <w:sz w:val="20"/>
          <w:szCs w:val="20"/>
        </w:rPr>
        <w:t>Notes:</w:t>
      </w:r>
      <w:r>
        <w:rPr>
          <w:sz w:val="20"/>
          <w:szCs w:val="20"/>
        </w:rPr>
        <w:tab/>
      </w:r>
      <w:r>
        <w:rPr>
          <w:sz w:val="20"/>
          <w:szCs w:val="20"/>
        </w:rPr>
        <w:tab/>
      </w:r>
      <w:r w:rsidR="00F026EC">
        <w:rPr>
          <w:sz w:val="20"/>
          <w:szCs w:val="20"/>
        </w:rPr>
        <w:t xml:space="preserve">Additional info related to the budget funding, timing or elements of project to provide further info </w:t>
      </w:r>
    </w:p>
    <w:p w:rsidR="00B442EE" w:rsidRDefault="00F026EC" w:rsidP="00D60269">
      <w:pPr>
        <w:spacing w:after="0"/>
        <w:rPr>
          <w:sz w:val="20"/>
          <w:szCs w:val="20"/>
        </w:rPr>
      </w:pPr>
      <w:r>
        <w:rPr>
          <w:sz w:val="20"/>
          <w:szCs w:val="20"/>
        </w:rPr>
        <w:tab/>
      </w:r>
      <w:r>
        <w:rPr>
          <w:sz w:val="20"/>
          <w:szCs w:val="20"/>
        </w:rPr>
        <w:tab/>
      </w:r>
      <w:proofErr w:type="gramStart"/>
      <w:r>
        <w:rPr>
          <w:sz w:val="20"/>
          <w:szCs w:val="20"/>
        </w:rPr>
        <w:t>regarding</w:t>
      </w:r>
      <w:proofErr w:type="gramEnd"/>
      <w:r>
        <w:rPr>
          <w:sz w:val="20"/>
          <w:szCs w:val="20"/>
        </w:rPr>
        <w:t xml:space="preserve"> Project Details or to explain an element of the project.</w:t>
      </w:r>
    </w:p>
    <w:p w:rsidR="00411749" w:rsidRDefault="00CC5F1D" w:rsidP="00D60269">
      <w:pPr>
        <w:spacing w:after="0"/>
        <w:rPr>
          <w:sz w:val="20"/>
          <w:szCs w:val="20"/>
        </w:rPr>
      </w:pPr>
      <w:r>
        <w:rPr>
          <w:sz w:val="20"/>
          <w:szCs w:val="20"/>
        </w:rPr>
        <w:t>Project:</w:t>
      </w:r>
      <w:r>
        <w:rPr>
          <w:sz w:val="20"/>
          <w:szCs w:val="20"/>
        </w:rPr>
        <w:tab/>
      </w:r>
      <w:r>
        <w:rPr>
          <w:sz w:val="20"/>
          <w:szCs w:val="20"/>
        </w:rPr>
        <w:tab/>
        <w:t>6243</w:t>
      </w:r>
    </w:p>
    <w:p w:rsidR="009A3E6A" w:rsidRDefault="009A3E6A" w:rsidP="00D60269">
      <w:pPr>
        <w:spacing w:after="0"/>
        <w:rPr>
          <w:sz w:val="20"/>
          <w:szCs w:val="20"/>
        </w:rPr>
      </w:pPr>
      <w:bookmarkStart w:id="0" w:name="_GoBack"/>
      <w:bookmarkEnd w:id="0"/>
    </w:p>
    <w:sectPr w:rsidR="009A3E6A" w:rsidSect="00D602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69"/>
    <w:rsid w:val="00006A95"/>
    <w:rsid w:val="0009166D"/>
    <w:rsid w:val="00175CFE"/>
    <w:rsid w:val="001C56E8"/>
    <w:rsid w:val="001D0F7B"/>
    <w:rsid w:val="001D71F4"/>
    <w:rsid w:val="001F5F33"/>
    <w:rsid w:val="002535A5"/>
    <w:rsid w:val="002535FD"/>
    <w:rsid w:val="002E3D1E"/>
    <w:rsid w:val="003E1A46"/>
    <w:rsid w:val="003E30DD"/>
    <w:rsid w:val="00411749"/>
    <w:rsid w:val="004F1D4A"/>
    <w:rsid w:val="006230E2"/>
    <w:rsid w:val="00694C76"/>
    <w:rsid w:val="006D3010"/>
    <w:rsid w:val="006D3989"/>
    <w:rsid w:val="006E49BF"/>
    <w:rsid w:val="007676ED"/>
    <w:rsid w:val="007951DA"/>
    <w:rsid w:val="00897D46"/>
    <w:rsid w:val="008C4D21"/>
    <w:rsid w:val="009A3E6A"/>
    <w:rsid w:val="00A67137"/>
    <w:rsid w:val="00A96E62"/>
    <w:rsid w:val="00AC2336"/>
    <w:rsid w:val="00AD067C"/>
    <w:rsid w:val="00AD2286"/>
    <w:rsid w:val="00B366E0"/>
    <w:rsid w:val="00B442EE"/>
    <w:rsid w:val="00B962D0"/>
    <w:rsid w:val="00BE7115"/>
    <w:rsid w:val="00C15514"/>
    <w:rsid w:val="00C75E70"/>
    <w:rsid w:val="00CC5F1D"/>
    <w:rsid w:val="00D60269"/>
    <w:rsid w:val="00D716C3"/>
    <w:rsid w:val="00E5797F"/>
    <w:rsid w:val="00F026EC"/>
    <w:rsid w:val="00F439FD"/>
    <w:rsid w:val="00F564C2"/>
    <w:rsid w:val="00F6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E9FA"/>
  <w15:docId w15:val="{99F33FD5-D19B-4CFD-9B64-85123F09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02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02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269"/>
    <w:rPr>
      <w:rFonts w:ascii="Tahoma" w:hAnsi="Tahoma" w:cs="Tahoma"/>
      <w:sz w:val="16"/>
      <w:szCs w:val="16"/>
    </w:rPr>
  </w:style>
  <w:style w:type="character" w:customStyle="1" w:styleId="Heading1Char">
    <w:name w:val="Heading 1 Char"/>
    <w:basedOn w:val="DefaultParagraphFont"/>
    <w:link w:val="Heading1"/>
    <w:uiPriority w:val="9"/>
    <w:rsid w:val="00D602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026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60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0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A1FA-521A-4479-A4AD-B02E5197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Athens-Clarke County</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 Soileau</dc:creator>
  <cp:lastModifiedBy>Julia Johnson</cp:lastModifiedBy>
  <cp:revision>7</cp:revision>
  <dcterms:created xsi:type="dcterms:W3CDTF">2015-04-08T12:51:00Z</dcterms:created>
  <dcterms:modified xsi:type="dcterms:W3CDTF">2017-10-12T13:59:00Z</dcterms:modified>
</cp:coreProperties>
</file>